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30CD" w14:textId="77777777" w:rsidR="005360B6" w:rsidRPr="00586501" w:rsidRDefault="0087135E" w:rsidP="00933E44">
      <w:pPr>
        <w:spacing w:after="360" w:line="276" w:lineRule="auto"/>
        <w:rPr>
          <w:rFonts w:ascii="Arial" w:hAnsi="Arial" w:cs="Arial"/>
          <w:b/>
          <w:sz w:val="36"/>
        </w:rPr>
      </w:pPr>
      <w:r w:rsidRPr="00586501">
        <w:rPr>
          <w:rFonts w:ascii="Arial" w:hAnsi="Arial" w:cs="Arial"/>
          <w:b/>
          <w:sz w:val="36"/>
        </w:rPr>
        <w:t>Policy cover sheet</w:t>
      </w:r>
    </w:p>
    <w:tbl>
      <w:tblPr>
        <w:tblStyle w:val="TableGrid"/>
        <w:tblW w:w="0" w:type="auto"/>
        <w:tblLook w:val="04A0" w:firstRow="1" w:lastRow="0" w:firstColumn="1" w:lastColumn="0" w:noHBand="0" w:noVBand="1"/>
      </w:tblPr>
      <w:tblGrid>
        <w:gridCol w:w="1980"/>
        <w:gridCol w:w="6458"/>
      </w:tblGrid>
      <w:tr w:rsidR="0087135E" w:rsidRPr="005360B6" w14:paraId="6C6EBD31" w14:textId="77777777" w:rsidTr="0087135E">
        <w:tc>
          <w:tcPr>
            <w:tcW w:w="1980" w:type="dxa"/>
          </w:tcPr>
          <w:p w14:paraId="6696187D" w14:textId="77777777" w:rsidR="0087135E" w:rsidRPr="006A361F" w:rsidRDefault="0087135E" w:rsidP="0087135E">
            <w:pPr>
              <w:spacing w:before="120" w:after="120" w:line="276" w:lineRule="auto"/>
              <w:rPr>
                <w:rFonts w:ascii="Arial" w:hAnsi="Arial" w:cs="Arial"/>
                <w:b/>
              </w:rPr>
            </w:pPr>
            <w:r>
              <w:rPr>
                <w:rFonts w:ascii="Arial" w:hAnsi="Arial" w:cs="Arial"/>
                <w:b/>
              </w:rPr>
              <w:t>Policy name</w:t>
            </w:r>
          </w:p>
        </w:tc>
        <w:tc>
          <w:tcPr>
            <w:tcW w:w="6458" w:type="dxa"/>
          </w:tcPr>
          <w:p w14:paraId="27366288" w14:textId="4BA4C7FB" w:rsidR="0087135E" w:rsidRDefault="00166C2A" w:rsidP="0087135E">
            <w:pPr>
              <w:spacing w:before="120" w:after="120" w:line="276" w:lineRule="auto"/>
              <w:rPr>
                <w:rFonts w:ascii="Arial" w:hAnsi="Arial" w:cs="Arial"/>
              </w:rPr>
            </w:pPr>
            <w:r>
              <w:rPr>
                <w:rFonts w:ascii="Arial" w:hAnsi="Arial" w:cs="Arial"/>
              </w:rPr>
              <w:t>Managing corrections in examination papers</w:t>
            </w:r>
            <w:r w:rsidR="001B6BDF">
              <w:rPr>
                <w:rFonts w:ascii="Arial" w:hAnsi="Arial" w:cs="Arial"/>
              </w:rPr>
              <w:t xml:space="preserve"> </w:t>
            </w:r>
          </w:p>
        </w:tc>
      </w:tr>
      <w:tr w:rsidR="0087135E" w:rsidRPr="005360B6" w14:paraId="1F2FECB1" w14:textId="77777777" w:rsidTr="0087135E">
        <w:tc>
          <w:tcPr>
            <w:tcW w:w="1980" w:type="dxa"/>
          </w:tcPr>
          <w:p w14:paraId="6F5CED12" w14:textId="77777777" w:rsidR="0087135E" w:rsidRPr="006A361F" w:rsidRDefault="0087135E" w:rsidP="0087135E">
            <w:pPr>
              <w:spacing w:before="120" w:after="120" w:line="276" w:lineRule="auto"/>
              <w:rPr>
                <w:rFonts w:ascii="Arial" w:hAnsi="Arial" w:cs="Arial"/>
                <w:b/>
              </w:rPr>
            </w:pPr>
            <w:r w:rsidRPr="006A361F">
              <w:rPr>
                <w:rFonts w:ascii="Arial" w:hAnsi="Arial" w:cs="Arial"/>
                <w:b/>
              </w:rPr>
              <w:t>Purpose</w:t>
            </w:r>
          </w:p>
        </w:tc>
        <w:tc>
          <w:tcPr>
            <w:tcW w:w="6458" w:type="dxa"/>
          </w:tcPr>
          <w:p w14:paraId="5AFFB782" w14:textId="39EEDAFE" w:rsidR="0087135E" w:rsidRPr="005360B6" w:rsidRDefault="006244CE" w:rsidP="00166C2A">
            <w:pPr>
              <w:spacing w:before="120" w:after="120" w:line="276" w:lineRule="auto"/>
              <w:rPr>
                <w:rFonts w:ascii="Arial" w:hAnsi="Arial" w:cs="Arial"/>
              </w:rPr>
            </w:pPr>
            <w:r>
              <w:rPr>
                <w:rFonts w:ascii="Arial" w:hAnsi="Arial" w:cs="Arial"/>
              </w:rPr>
              <w:t xml:space="preserve">To ensure a </w:t>
            </w:r>
            <w:r w:rsidR="00166C2A">
              <w:rPr>
                <w:rFonts w:ascii="Arial" w:hAnsi="Arial" w:cs="Arial"/>
              </w:rPr>
              <w:t xml:space="preserve">clear and </w:t>
            </w:r>
            <w:r>
              <w:rPr>
                <w:rFonts w:ascii="Arial" w:hAnsi="Arial" w:cs="Arial"/>
              </w:rPr>
              <w:t xml:space="preserve">consistent approach </w:t>
            </w:r>
            <w:r w:rsidR="006B5B16">
              <w:rPr>
                <w:rFonts w:ascii="Arial" w:hAnsi="Arial" w:cs="Arial"/>
              </w:rPr>
              <w:t xml:space="preserve">to </w:t>
            </w:r>
            <w:r w:rsidR="00166C2A">
              <w:rPr>
                <w:rFonts w:ascii="Arial" w:hAnsi="Arial" w:cs="Arial"/>
              </w:rPr>
              <w:t>managing communication of corrections in examination papers;</w:t>
            </w:r>
            <w:r w:rsidR="006B5B16">
              <w:rPr>
                <w:rFonts w:ascii="Arial" w:hAnsi="Arial" w:cs="Arial"/>
              </w:rPr>
              <w:t xml:space="preserve"> to allow for clear communication to stakeholders</w:t>
            </w:r>
          </w:p>
        </w:tc>
      </w:tr>
      <w:tr w:rsidR="00151287" w:rsidRPr="005360B6" w14:paraId="028C4165" w14:textId="77777777" w:rsidTr="0087135E">
        <w:tc>
          <w:tcPr>
            <w:tcW w:w="1980" w:type="dxa"/>
          </w:tcPr>
          <w:p w14:paraId="0C97FC73" w14:textId="77777777" w:rsidR="00151287" w:rsidRPr="006A361F" w:rsidRDefault="00151287" w:rsidP="0087135E">
            <w:pPr>
              <w:spacing w:before="120" w:after="120" w:line="276" w:lineRule="auto"/>
              <w:rPr>
                <w:rFonts w:ascii="Arial" w:hAnsi="Arial" w:cs="Arial"/>
                <w:b/>
              </w:rPr>
            </w:pPr>
            <w:r>
              <w:rPr>
                <w:rFonts w:ascii="Arial" w:hAnsi="Arial" w:cs="Arial"/>
                <w:b/>
              </w:rPr>
              <w:t>Owner</w:t>
            </w:r>
          </w:p>
        </w:tc>
        <w:tc>
          <w:tcPr>
            <w:tcW w:w="6458" w:type="dxa"/>
          </w:tcPr>
          <w:p w14:paraId="3DBC7975" w14:textId="5E9BBA14" w:rsidR="00151287" w:rsidRDefault="006B5B16" w:rsidP="0089146F">
            <w:pPr>
              <w:spacing w:before="120" w:after="120" w:line="276" w:lineRule="auto"/>
              <w:rPr>
                <w:rFonts w:ascii="Arial" w:hAnsi="Arial" w:cs="Arial"/>
              </w:rPr>
            </w:pPr>
            <w:r>
              <w:rPr>
                <w:rFonts w:ascii="Arial" w:hAnsi="Arial" w:cs="Arial"/>
              </w:rPr>
              <w:t>Examinations and Assessment Committee</w:t>
            </w:r>
          </w:p>
        </w:tc>
      </w:tr>
      <w:tr w:rsidR="0087135E" w:rsidRPr="005360B6" w14:paraId="5E57FBE9" w14:textId="77777777" w:rsidTr="0087135E">
        <w:tc>
          <w:tcPr>
            <w:tcW w:w="1980" w:type="dxa"/>
          </w:tcPr>
          <w:p w14:paraId="59B56288" w14:textId="77777777" w:rsidR="0087135E" w:rsidRPr="006A361F" w:rsidRDefault="0087135E" w:rsidP="0087135E">
            <w:pPr>
              <w:spacing w:before="120" w:after="120" w:line="276" w:lineRule="auto"/>
              <w:rPr>
                <w:rFonts w:ascii="Arial" w:hAnsi="Arial" w:cs="Arial"/>
                <w:b/>
              </w:rPr>
            </w:pPr>
            <w:r w:rsidRPr="006A361F">
              <w:rPr>
                <w:rFonts w:ascii="Arial" w:hAnsi="Arial" w:cs="Arial"/>
                <w:b/>
              </w:rPr>
              <w:t>Contact</w:t>
            </w:r>
          </w:p>
        </w:tc>
        <w:tc>
          <w:tcPr>
            <w:tcW w:w="6458" w:type="dxa"/>
          </w:tcPr>
          <w:p w14:paraId="7B1144F8" w14:textId="77777777" w:rsidR="006B5B16" w:rsidRDefault="006B5B16" w:rsidP="00B552CF">
            <w:pPr>
              <w:spacing w:before="120" w:after="120" w:line="276" w:lineRule="auto"/>
              <w:rPr>
                <w:rFonts w:ascii="Arial" w:hAnsi="Arial" w:cs="Arial"/>
              </w:rPr>
            </w:pPr>
            <w:r>
              <w:rPr>
                <w:rFonts w:ascii="Arial" w:hAnsi="Arial" w:cs="Arial"/>
              </w:rPr>
              <w:t>Emma Paulus</w:t>
            </w:r>
          </w:p>
          <w:p w14:paraId="1E91E702" w14:textId="7D5F1431" w:rsidR="0089146F" w:rsidRPr="005360B6" w:rsidRDefault="006B5B16" w:rsidP="006B5B16">
            <w:pPr>
              <w:spacing w:before="120" w:after="120" w:line="276" w:lineRule="auto"/>
              <w:rPr>
                <w:rFonts w:ascii="Arial" w:hAnsi="Arial" w:cs="Arial"/>
              </w:rPr>
            </w:pPr>
            <w:r>
              <w:rPr>
                <w:rFonts w:ascii="Arial" w:hAnsi="Arial" w:cs="Arial"/>
              </w:rPr>
              <w:t>educationalpolicy@admin.cam.ac.uk</w:t>
            </w:r>
          </w:p>
        </w:tc>
      </w:tr>
      <w:tr w:rsidR="0087135E" w:rsidRPr="005360B6" w14:paraId="08FB50D6" w14:textId="77777777" w:rsidTr="0087135E">
        <w:tc>
          <w:tcPr>
            <w:tcW w:w="1980" w:type="dxa"/>
          </w:tcPr>
          <w:p w14:paraId="7067FEB8" w14:textId="77777777" w:rsidR="0087135E" w:rsidRPr="006A361F" w:rsidRDefault="0087135E" w:rsidP="0087135E">
            <w:pPr>
              <w:spacing w:before="120" w:after="120" w:line="276" w:lineRule="auto"/>
              <w:rPr>
                <w:rFonts w:ascii="Arial" w:hAnsi="Arial" w:cs="Arial"/>
                <w:b/>
              </w:rPr>
            </w:pPr>
            <w:r w:rsidRPr="006A361F">
              <w:rPr>
                <w:rFonts w:ascii="Arial" w:hAnsi="Arial" w:cs="Arial"/>
                <w:b/>
              </w:rPr>
              <w:t>Approved by</w:t>
            </w:r>
          </w:p>
        </w:tc>
        <w:tc>
          <w:tcPr>
            <w:tcW w:w="6458" w:type="dxa"/>
          </w:tcPr>
          <w:p w14:paraId="60A3DA51" w14:textId="13DF41EB" w:rsidR="0087135E" w:rsidRPr="005360B6" w:rsidRDefault="008236D5" w:rsidP="0087135E">
            <w:pPr>
              <w:spacing w:before="120" w:after="120" w:line="276" w:lineRule="auto"/>
              <w:rPr>
                <w:rFonts w:ascii="Arial" w:hAnsi="Arial" w:cs="Arial"/>
              </w:rPr>
            </w:pPr>
            <w:r>
              <w:rPr>
                <w:rFonts w:ascii="Arial" w:hAnsi="Arial" w:cs="Arial"/>
              </w:rPr>
              <w:t xml:space="preserve">General Board’s Education Committee </w:t>
            </w:r>
          </w:p>
        </w:tc>
      </w:tr>
      <w:tr w:rsidR="0087135E" w:rsidRPr="005360B6" w14:paraId="2A9AA2C5" w14:textId="77777777" w:rsidTr="0087135E">
        <w:tc>
          <w:tcPr>
            <w:tcW w:w="1980" w:type="dxa"/>
          </w:tcPr>
          <w:p w14:paraId="2C58DB70" w14:textId="77777777" w:rsidR="0087135E" w:rsidRPr="006A361F" w:rsidRDefault="0087135E" w:rsidP="0087135E">
            <w:pPr>
              <w:spacing w:before="120" w:after="120" w:line="276" w:lineRule="auto"/>
              <w:rPr>
                <w:rFonts w:ascii="Arial" w:hAnsi="Arial" w:cs="Arial"/>
                <w:b/>
              </w:rPr>
            </w:pPr>
            <w:r w:rsidRPr="006A361F">
              <w:rPr>
                <w:rFonts w:ascii="Arial" w:hAnsi="Arial" w:cs="Arial"/>
                <w:b/>
              </w:rPr>
              <w:t>Approval date</w:t>
            </w:r>
          </w:p>
        </w:tc>
        <w:tc>
          <w:tcPr>
            <w:tcW w:w="6458" w:type="dxa"/>
          </w:tcPr>
          <w:p w14:paraId="67E72C48" w14:textId="4EDB349B" w:rsidR="0087135E" w:rsidRPr="005360B6" w:rsidRDefault="00157CF7" w:rsidP="0087135E">
            <w:pPr>
              <w:spacing w:before="120" w:after="120" w:line="276" w:lineRule="auto"/>
              <w:rPr>
                <w:rFonts w:ascii="Arial" w:hAnsi="Arial" w:cs="Arial"/>
              </w:rPr>
            </w:pPr>
            <w:r>
              <w:rPr>
                <w:rFonts w:ascii="Arial" w:hAnsi="Arial" w:cs="Arial"/>
              </w:rPr>
              <w:t>February 2023</w:t>
            </w:r>
          </w:p>
        </w:tc>
      </w:tr>
      <w:tr w:rsidR="006B5B16" w:rsidRPr="005360B6" w14:paraId="45662B15" w14:textId="77777777" w:rsidTr="0087135E">
        <w:tc>
          <w:tcPr>
            <w:tcW w:w="1980" w:type="dxa"/>
          </w:tcPr>
          <w:p w14:paraId="09632687" w14:textId="77777777" w:rsidR="006B5B16" w:rsidRPr="006A361F" w:rsidRDefault="006B5B16" w:rsidP="006B5B16">
            <w:pPr>
              <w:spacing w:before="120" w:after="120" w:line="276" w:lineRule="auto"/>
              <w:rPr>
                <w:rFonts w:ascii="Arial" w:hAnsi="Arial" w:cs="Arial"/>
                <w:b/>
              </w:rPr>
            </w:pPr>
            <w:r w:rsidRPr="006A361F">
              <w:rPr>
                <w:rFonts w:ascii="Arial" w:hAnsi="Arial" w:cs="Arial"/>
                <w:b/>
              </w:rPr>
              <w:t>With effect from</w:t>
            </w:r>
          </w:p>
        </w:tc>
        <w:tc>
          <w:tcPr>
            <w:tcW w:w="6458" w:type="dxa"/>
          </w:tcPr>
          <w:p w14:paraId="3BC9BD0B" w14:textId="24363838" w:rsidR="006B5B16" w:rsidRPr="005360B6" w:rsidRDefault="00157CF7" w:rsidP="006B5B16">
            <w:pPr>
              <w:spacing w:before="120" w:after="120" w:line="276" w:lineRule="auto"/>
              <w:rPr>
                <w:rFonts w:ascii="Arial" w:hAnsi="Arial" w:cs="Arial"/>
              </w:rPr>
            </w:pPr>
            <w:r>
              <w:rPr>
                <w:rFonts w:ascii="Arial" w:hAnsi="Arial" w:cs="Arial"/>
              </w:rPr>
              <w:t>February 2023</w:t>
            </w:r>
          </w:p>
        </w:tc>
      </w:tr>
      <w:tr w:rsidR="0087135E" w:rsidRPr="005360B6" w14:paraId="14669DF1" w14:textId="77777777" w:rsidTr="0087135E">
        <w:tc>
          <w:tcPr>
            <w:tcW w:w="1980" w:type="dxa"/>
          </w:tcPr>
          <w:p w14:paraId="7B8FA788" w14:textId="77777777" w:rsidR="0087135E" w:rsidRPr="006A361F" w:rsidRDefault="0087135E" w:rsidP="0087135E">
            <w:pPr>
              <w:spacing w:before="120" w:after="120" w:line="276" w:lineRule="auto"/>
              <w:rPr>
                <w:rFonts w:ascii="Arial" w:hAnsi="Arial" w:cs="Arial"/>
                <w:b/>
              </w:rPr>
            </w:pPr>
            <w:r w:rsidRPr="006A361F">
              <w:rPr>
                <w:rFonts w:ascii="Arial" w:hAnsi="Arial" w:cs="Arial"/>
                <w:b/>
              </w:rPr>
              <w:t>Next review due</w:t>
            </w:r>
          </w:p>
        </w:tc>
        <w:tc>
          <w:tcPr>
            <w:tcW w:w="6458" w:type="dxa"/>
          </w:tcPr>
          <w:p w14:paraId="511B039E" w14:textId="083217C5" w:rsidR="0087135E" w:rsidRPr="005360B6" w:rsidRDefault="008236D5" w:rsidP="0087135E">
            <w:pPr>
              <w:spacing w:before="120" w:after="120" w:line="276" w:lineRule="auto"/>
              <w:rPr>
                <w:rFonts w:ascii="Arial" w:hAnsi="Arial" w:cs="Arial"/>
              </w:rPr>
            </w:pPr>
            <w:r>
              <w:rPr>
                <w:rFonts w:ascii="Arial" w:hAnsi="Arial" w:cs="Arial"/>
              </w:rPr>
              <w:t>February 2025</w:t>
            </w:r>
          </w:p>
        </w:tc>
      </w:tr>
      <w:tr w:rsidR="0087135E" w:rsidRPr="005360B6" w14:paraId="22E3B9FC" w14:textId="77777777" w:rsidTr="0087135E">
        <w:tc>
          <w:tcPr>
            <w:tcW w:w="1980" w:type="dxa"/>
          </w:tcPr>
          <w:p w14:paraId="3FC5DC5A" w14:textId="77777777" w:rsidR="0087135E" w:rsidRPr="006A361F" w:rsidRDefault="0087135E" w:rsidP="0087135E">
            <w:pPr>
              <w:spacing w:before="120" w:after="120" w:line="276" w:lineRule="auto"/>
              <w:rPr>
                <w:rFonts w:ascii="Arial" w:hAnsi="Arial" w:cs="Arial"/>
                <w:b/>
              </w:rPr>
            </w:pPr>
            <w:r>
              <w:rPr>
                <w:rFonts w:ascii="Arial" w:hAnsi="Arial" w:cs="Arial"/>
                <w:b/>
              </w:rPr>
              <w:t>Version</w:t>
            </w:r>
          </w:p>
        </w:tc>
        <w:tc>
          <w:tcPr>
            <w:tcW w:w="6458" w:type="dxa"/>
          </w:tcPr>
          <w:p w14:paraId="24A32C35" w14:textId="77777777" w:rsidR="0087135E" w:rsidRPr="005360B6" w:rsidRDefault="0089146F" w:rsidP="0087135E">
            <w:pPr>
              <w:spacing w:before="120" w:after="120" w:line="276" w:lineRule="auto"/>
              <w:rPr>
                <w:rFonts w:ascii="Arial" w:hAnsi="Arial" w:cs="Arial"/>
              </w:rPr>
            </w:pPr>
            <w:r>
              <w:rPr>
                <w:rFonts w:ascii="Arial" w:hAnsi="Arial" w:cs="Arial"/>
              </w:rPr>
              <w:t>1</w:t>
            </w:r>
            <w:r w:rsidR="0087135E">
              <w:rPr>
                <w:rFonts w:ascii="Arial" w:hAnsi="Arial" w:cs="Arial"/>
              </w:rPr>
              <w:t>.0</w:t>
            </w:r>
            <w:r>
              <w:rPr>
                <w:rFonts w:ascii="Arial" w:hAnsi="Arial" w:cs="Arial"/>
              </w:rPr>
              <w:t xml:space="preserve"> final/draft</w:t>
            </w:r>
          </w:p>
        </w:tc>
      </w:tr>
    </w:tbl>
    <w:p w14:paraId="1562AC07" w14:textId="3105B183" w:rsidR="004A085B" w:rsidRDefault="004A085B" w:rsidP="004A085B">
      <w:pPr>
        <w:spacing w:line="276" w:lineRule="auto"/>
        <w:rPr>
          <w:rFonts w:ascii="Arial" w:hAnsi="Arial" w:cs="Arial"/>
          <w:b/>
        </w:rPr>
      </w:pPr>
    </w:p>
    <w:p w14:paraId="4277B626" w14:textId="6D07A445" w:rsidR="006B5B16" w:rsidRDefault="006B5B16" w:rsidP="004A085B">
      <w:pPr>
        <w:spacing w:line="276" w:lineRule="auto"/>
        <w:rPr>
          <w:rFonts w:ascii="Arial" w:hAnsi="Arial" w:cs="Arial"/>
          <w:b/>
        </w:rPr>
      </w:pPr>
    </w:p>
    <w:p w14:paraId="5935EC77" w14:textId="177BEB37" w:rsidR="006B5B16" w:rsidRDefault="006B5B16" w:rsidP="004A085B">
      <w:pPr>
        <w:spacing w:line="276" w:lineRule="auto"/>
        <w:rPr>
          <w:rFonts w:ascii="Arial" w:hAnsi="Arial" w:cs="Arial"/>
          <w:b/>
        </w:rPr>
      </w:pPr>
    </w:p>
    <w:p w14:paraId="55327E7B" w14:textId="77777777" w:rsidR="006B5B16" w:rsidRDefault="006B5B16">
      <w:pPr>
        <w:rPr>
          <w:rFonts w:ascii="Arial" w:hAnsi="Arial" w:cs="Arial"/>
          <w:b/>
        </w:rPr>
      </w:pPr>
      <w:r>
        <w:rPr>
          <w:rFonts w:ascii="Arial" w:hAnsi="Arial" w:cs="Arial"/>
          <w:b/>
        </w:rPr>
        <w:br w:type="page"/>
      </w:r>
    </w:p>
    <w:p w14:paraId="07FB55B4" w14:textId="13457358" w:rsidR="006B5B16" w:rsidRPr="009538B6" w:rsidRDefault="006B5B16" w:rsidP="004A085B">
      <w:pPr>
        <w:spacing w:line="276" w:lineRule="auto"/>
        <w:rPr>
          <w:rFonts w:cstheme="minorHAnsi"/>
          <w:b/>
        </w:rPr>
      </w:pPr>
      <w:r w:rsidRPr="009538B6">
        <w:rPr>
          <w:rFonts w:cstheme="minorHAnsi"/>
          <w:b/>
        </w:rPr>
        <w:lastRenderedPageBreak/>
        <w:t>Background</w:t>
      </w:r>
      <w:r w:rsidR="009538B6" w:rsidRPr="009538B6">
        <w:rPr>
          <w:rFonts w:cstheme="minorHAnsi"/>
          <w:b/>
        </w:rPr>
        <w:t xml:space="preserve"> and drivers</w:t>
      </w:r>
    </w:p>
    <w:p w14:paraId="7ECB26C1" w14:textId="35A18F87" w:rsidR="00157CF7" w:rsidRDefault="00157CF7" w:rsidP="003C1BF1">
      <w:pPr>
        <w:pStyle w:val="ListParagraph"/>
        <w:numPr>
          <w:ilvl w:val="0"/>
          <w:numId w:val="3"/>
        </w:numPr>
        <w:spacing w:line="276" w:lineRule="auto"/>
        <w:rPr>
          <w:rFonts w:cstheme="minorHAnsi"/>
        </w:rPr>
      </w:pPr>
      <w:r w:rsidRPr="00157CF7">
        <w:rPr>
          <w:rFonts w:cstheme="minorHAnsi"/>
        </w:rPr>
        <w:t xml:space="preserve">Digital Assessment continues to develop across the University with a number of subjects continuing to choose online exams as their mode of assessment. It is known that this mode of assessment will continue </w:t>
      </w:r>
      <w:r w:rsidR="000B7AFF">
        <w:rPr>
          <w:rFonts w:cstheme="minorHAnsi"/>
        </w:rPr>
        <w:t>in</w:t>
      </w:r>
      <w:r w:rsidRPr="00157CF7">
        <w:rPr>
          <w:rFonts w:cstheme="minorHAnsi"/>
        </w:rPr>
        <w:t xml:space="preserve"> the coming years. </w:t>
      </w:r>
    </w:p>
    <w:p w14:paraId="11DB7DE9" w14:textId="4D6D52DF" w:rsidR="00166C2A" w:rsidRPr="00157CF7" w:rsidRDefault="00157CF7" w:rsidP="003C1BF1">
      <w:pPr>
        <w:pStyle w:val="ListParagraph"/>
        <w:numPr>
          <w:ilvl w:val="0"/>
          <w:numId w:val="3"/>
        </w:numPr>
        <w:spacing w:line="276" w:lineRule="auto"/>
        <w:rPr>
          <w:rFonts w:cstheme="minorHAnsi"/>
        </w:rPr>
      </w:pPr>
      <w:r>
        <w:rPr>
          <w:rFonts w:cstheme="minorHAnsi"/>
        </w:rPr>
        <w:t>S</w:t>
      </w:r>
      <w:r w:rsidR="00166C2A" w:rsidRPr="00157CF7">
        <w:rPr>
          <w:rFonts w:cstheme="minorHAnsi"/>
        </w:rPr>
        <w:t xml:space="preserve">tudents are expected to be in Cambridge during term time, when the majority of exams are scheduled.  </w:t>
      </w:r>
      <w:r>
        <w:rPr>
          <w:rFonts w:cstheme="minorHAnsi"/>
        </w:rPr>
        <w:t>Depending on the mode of assessment, s</w:t>
      </w:r>
      <w:r w:rsidR="001B6BDF" w:rsidRPr="00157CF7">
        <w:rPr>
          <w:rFonts w:cstheme="minorHAnsi"/>
        </w:rPr>
        <w:t xml:space="preserve">tudents will </w:t>
      </w:r>
      <w:r>
        <w:rPr>
          <w:rFonts w:cstheme="minorHAnsi"/>
        </w:rPr>
        <w:t xml:space="preserve">either </w:t>
      </w:r>
      <w:r w:rsidR="001B6BDF" w:rsidRPr="00157CF7">
        <w:rPr>
          <w:rFonts w:cstheme="minorHAnsi"/>
        </w:rPr>
        <w:t xml:space="preserve">be located </w:t>
      </w:r>
      <w:r>
        <w:rPr>
          <w:rFonts w:cstheme="minorHAnsi"/>
        </w:rPr>
        <w:t xml:space="preserve">across </w:t>
      </w:r>
      <w:r w:rsidR="001B6BDF" w:rsidRPr="00157CF7">
        <w:rPr>
          <w:rFonts w:cstheme="minorHAnsi"/>
        </w:rPr>
        <w:t>exam venue</w:t>
      </w:r>
      <w:r>
        <w:rPr>
          <w:rFonts w:cstheme="minorHAnsi"/>
        </w:rPr>
        <w:t>s</w:t>
      </w:r>
      <w:r w:rsidR="000B7AFF">
        <w:rPr>
          <w:rFonts w:cstheme="minorHAnsi"/>
        </w:rPr>
        <w:t xml:space="preserve"> (handwritten and online)</w:t>
      </w:r>
      <w:r>
        <w:rPr>
          <w:rFonts w:cstheme="minorHAnsi"/>
        </w:rPr>
        <w:t xml:space="preserve">, or taking an online </w:t>
      </w:r>
      <w:r w:rsidR="000B7AFF">
        <w:rPr>
          <w:rFonts w:cstheme="minorHAnsi"/>
        </w:rPr>
        <w:t xml:space="preserve">remote </w:t>
      </w:r>
      <w:r>
        <w:rPr>
          <w:rFonts w:cstheme="minorHAnsi"/>
        </w:rPr>
        <w:t xml:space="preserve">exam in space they have identified as suitable. </w:t>
      </w:r>
    </w:p>
    <w:p w14:paraId="79853D73" w14:textId="6CECC9D9" w:rsidR="00166C2A" w:rsidRDefault="00166C2A" w:rsidP="003C1BF1">
      <w:pPr>
        <w:pStyle w:val="ListParagraph"/>
        <w:numPr>
          <w:ilvl w:val="0"/>
          <w:numId w:val="3"/>
        </w:numPr>
        <w:spacing w:line="276" w:lineRule="auto"/>
        <w:rPr>
          <w:rFonts w:cstheme="minorHAnsi"/>
        </w:rPr>
      </w:pPr>
      <w:r>
        <w:rPr>
          <w:rFonts w:cstheme="minorHAnsi"/>
        </w:rPr>
        <w:t xml:space="preserve">For in-person exams, corrections to exam papers are communicated to the main exam venues and to Colleges (where students with </w:t>
      </w:r>
      <w:r w:rsidR="00204518">
        <w:rPr>
          <w:rFonts w:cstheme="minorHAnsi"/>
        </w:rPr>
        <w:t xml:space="preserve">reasonable adjustments may be sitting </w:t>
      </w:r>
      <w:r>
        <w:rPr>
          <w:rFonts w:cstheme="minorHAnsi"/>
        </w:rPr>
        <w:t xml:space="preserve">their exams).  Exam supervisors and College staff communicate details of the correction to the students.  </w:t>
      </w:r>
    </w:p>
    <w:p w14:paraId="798EF83A" w14:textId="219ED306" w:rsidR="00166C2A" w:rsidRDefault="001B6BDF" w:rsidP="003C1BF1">
      <w:pPr>
        <w:pStyle w:val="ListParagraph"/>
        <w:numPr>
          <w:ilvl w:val="0"/>
          <w:numId w:val="3"/>
        </w:numPr>
        <w:spacing w:line="276" w:lineRule="auto"/>
        <w:rPr>
          <w:rFonts w:cstheme="minorHAnsi"/>
        </w:rPr>
      </w:pPr>
      <w:r>
        <w:rPr>
          <w:rFonts w:cstheme="minorHAnsi"/>
        </w:rPr>
        <w:t xml:space="preserve">Students taking </w:t>
      </w:r>
      <w:r w:rsidR="00204518">
        <w:rPr>
          <w:rFonts w:cstheme="minorHAnsi"/>
        </w:rPr>
        <w:t xml:space="preserve">timed </w:t>
      </w:r>
      <w:r>
        <w:rPr>
          <w:rFonts w:cstheme="minorHAnsi"/>
        </w:rPr>
        <w:t>exams online are not permitted to access any website or other resource during the exam other than the exam platform.  It is not therefore possible to notify students of corrections to exams.</w:t>
      </w:r>
    </w:p>
    <w:p w14:paraId="651245D3" w14:textId="514F8A1F" w:rsidR="00157CF7" w:rsidRPr="003C1BF1" w:rsidRDefault="00157CF7" w:rsidP="003C1BF1">
      <w:pPr>
        <w:pStyle w:val="ListParagraph"/>
        <w:numPr>
          <w:ilvl w:val="0"/>
          <w:numId w:val="3"/>
        </w:numPr>
        <w:spacing w:line="276" w:lineRule="auto"/>
        <w:rPr>
          <w:rFonts w:cstheme="minorHAnsi"/>
        </w:rPr>
      </w:pPr>
      <w:r>
        <w:rPr>
          <w:rFonts w:cstheme="minorHAnsi"/>
        </w:rPr>
        <w:t xml:space="preserve">Whilst students taking open book online exams are permitted to access resources during the exam, it is not possible to notify all students of </w:t>
      </w:r>
      <w:r w:rsidR="000B7AFF">
        <w:rPr>
          <w:rFonts w:cstheme="minorHAnsi"/>
        </w:rPr>
        <w:t xml:space="preserve">a </w:t>
      </w:r>
      <w:r>
        <w:rPr>
          <w:rFonts w:cstheme="minorHAnsi"/>
        </w:rPr>
        <w:t xml:space="preserve">correction and be assured that all students have picked up the notification. </w:t>
      </w:r>
    </w:p>
    <w:p w14:paraId="414921F7" w14:textId="18CD0BBC" w:rsidR="006B5B16" w:rsidRPr="009538B6" w:rsidRDefault="006B5B16" w:rsidP="004A085B">
      <w:pPr>
        <w:spacing w:line="276" w:lineRule="auto"/>
        <w:rPr>
          <w:rFonts w:cstheme="minorHAnsi"/>
          <w:b/>
        </w:rPr>
      </w:pPr>
    </w:p>
    <w:p w14:paraId="2C247F5D" w14:textId="01D8FAD3" w:rsidR="006B5B16" w:rsidRPr="009538B6" w:rsidRDefault="006B5B16" w:rsidP="004A085B">
      <w:pPr>
        <w:spacing w:line="276" w:lineRule="auto"/>
        <w:rPr>
          <w:rFonts w:cstheme="minorHAnsi"/>
          <w:b/>
        </w:rPr>
      </w:pPr>
      <w:r w:rsidRPr="009538B6">
        <w:rPr>
          <w:rFonts w:cstheme="minorHAnsi"/>
          <w:b/>
        </w:rPr>
        <w:t xml:space="preserve">Policy on </w:t>
      </w:r>
      <w:r w:rsidR="00166C2A">
        <w:rPr>
          <w:rFonts w:cstheme="minorHAnsi"/>
          <w:b/>
        </w:rPr>
        <w:t>managing corrections to examination papers</w:t>
      </w:r>
    </w:p>
    <w:p w14:paraId="00C7C49A" w14:textId="6A028B72" w:rsidR="00EC3FC5" w:rsidRPr="00EC3FC5" w:rsidRDefault="00EC3FC5" w:rsidP="00630DD8">
      <w:pPr>
        <w:pStyle w:val="ListParagraph"/>
        <w:numPr>
          <w:ilvl w:val="0"/>
          <w:numId w:val="4"/>
        </w:numPr>
        <w:spacing w:line="276" w:lineRule="auto"/>
        <w:rPr>
          <w:rFonts w:cstheme="minorHAnsi"/>
          <w:b/>
        </w:rPr>
      </w:pPr>
      <w:r w:rsidRPr="00EC3FC5">
        <w:rPr>
          <w:rFonts w:cstheme="minorHAnsi"/>
          <w:bCs/>
        </w:rPr>
        <w:t xml:space="preserve">No student should be disadvantaged by </w:t>
      </w:r>
      <w:r>
        <w:rPr>
          <w:rFonts w:cstheme="minorHAnsi"/>
          <w:bCs/>
        </w:rPr>
        <w:t xml:space="preserve">an error on a question paper. Where an error is identified, the Exam Board should determine how to manage cases where students have attempted to answer that question. </w:t>
      </w:r>
    </w:p>
    <w:p w14:paraId="1E43E1F9" w14:textId="1A60707A" w:rsidR="00630DD8" w:rsidRPr="001B6BDF" w:rsidRDefault="00630DD8" w:rsidP="00630DD8">
      <w:pPr>
        <w:pStyle w:val="ListParagraph"/>
        <w:numPr>
          <w:ilvl w:val="0"/>
          <w:numId w:val="4"/>
        </w:numPr>
        <w:spacing w:line="276" w:lineRule="auto"/>
        <w:rPr>
          <w:rFonts w:ascii="Arial" w:hAnsi="Arial" w:cs="Arial"/>
          <w:b/>
        </w:rPr>
      </w:pPr>
      <w:r w:rsidRPr="00630DD8">
        <w:rPr>
          <w:rFonts w:cstheme="minorHAnsi"/>
        </w:rPr>
        <w:t xml:space="preserve">Faculties and Departments </w:t>
      </w:r>
      <w:r w:rsidR="001B6BDF">
        <w:rPr>
          <w:rFonts w:cstheme="minorHAnsi"/>
        </w:rPr>
        <w:t>should notify the Exams Office as soon as a correction is discovered</w:t>
      </w:r>
      <w:r w:rsidR="00A12D26">
        <w:rPr>
          <w:rFonts w:cstheme="minorHAnsi"/>
        </w:rPr>
        <w:t>, irrespective of how the exam is being delivered</w:t>
      </w:r>
      <w:r w:rsidR="001B6BDF">
        <w:rPr>
          <w:rFonts w:cstheme="minorHAnsi"/>
        </w:rPr>
        <w:t>.</w:t>
      </w:r>
    </w:p>
    <w:p w14:paraId="773FF240" w14:textId="64664AF0" w:rsidR="00DD74B8" w:rsidRPr="00DD74B8" w:rsidRDefault="00157CF7" w:rsidP="00DD74B8">
      <w:pPr>
        <w:pStyle w:val="ListParagraph"/>
        <w:numPr>
          <w:ilvl w:val="0"/>
          <w:numId w:val="4"/>
        </w:numPr>
        <w:spacing w:line="276" w:lineRule="auto"/>
      </w:pPr>
      <w:r>
        <w:t>Where the examination is taking place in-person</w:t>
      </w:r>
      <w:r w:rsidR="00EC3FC5">
        <w:rPr>
          <w:rStyle w:val="FootnoteReference"/>
        </w:rPr>
        <w:footnoteReference w:id="1"/>
      </w:r>
      <w:r w:rsidR="00EC3FC5">
        <w:t xml:space="preserve"> </w:t>
      </w:r>
      <w:r w:rsidR="007F5674" w:rsidRPr="695AE64A">
        <w:t xml:space="preserve">details of the correction will be communicated to students via invigilators and College staff.  </w:t>
      </w:r>
      <w:r>
        <w:t xml:space="preserve">This will be circulated as soon as possible however there may be a short delay between students taking the exam in the main venue and those in other locations whilst the correction is transmitted. </w:t>
      </w:r>
      <w:r w:rsidR="00DD74B8">
        <w:br/>
        <w:t xml:space="preserve">Communication of a correction may result in a small amount of extra time added onto the end of the exam to offset the interruption of announcing a correction. This will be determined by the Exams Office and communicated to all sites, including where a student is taking the exam in College. </w:t>
      </w:r>
      <w:r w:rsidR="00DD74B8">
        <w:br/>
      </w:r>
      <w:r w:rsidR="00DD74B8" w:rsidRPr="00DD74B8">
        <w:t>If a student has already attempted to answer the question</w:t>
      </w:r>
      <w:r w:rsidR="00DD74B8">
        <w:t>, prior to the correction being announced, they should not attempt</w:t>
      </w:r>
      <w:r w:rsidR="00DD74B8" w:rsidRPr="00DD74B8">
        <w:t xml:space="preserve"> </w:t>
      </w:r>
      <w:r w:rsidR="00DD74B8">
        <w:t xml:space="preserve">to replace that question with another but focus on the remaining questions. </w:t>
      </w:r>
      <w:r w:rsidR="001934E5">
        <w:t xml:space="preserve">Students should raise concerns with their Tutor once the exam is concluded, who will in turn raise it with the central Exams team. </w:t>
      </w:r>
    </w:p>
    <w:p w14:paraId="4BD07FB6" w14:textId="086D9588" w:rsidR="00204518" w:rsidRPr="00157CF7" w:rsidRDefault="00204518" w:rsidP="695AE64A">
      <w:pPr>
        <w:pStyle w:val="ListParagraph"/>
        <w:numPr>
          <w:ilvl w:val="0"/>
          <w:numId w:val="4"/>
        </w:numPr>
        <w:spacing w:line="276" w:lineRule="auto"/>
        <w:rPr>
          <w:b/>
          <w:bCs/>
        </w:rPr>
      </w:pPr>
      <w:r w:rsidRPr="695AE64A">
        <w:t xml:space="preserve">For students taking </w:t>
      </w:r>
      <w:r w:rsidR="00157CF7">
        <w:t xml:space="preserve">exams online, </w:t>
      </w:r>
      <w:r w:rsidRPr="695AE64A">
        <w:t>which are not invigilated, no corrections will be circulated.  Students should raise concerns with their Tutor once the exam is concluded</w:t>
      </w:r>
      <w:r w:rsidR="00152E74" w:rsidRPr="695AE64A">
        <w:t xml:space="preserve">. The Tutor should </w:t>
      </w:r>
      <w:r w:rsidR="00157CF7">
        <w:t xml:space="preserve">then </w:t>
      </w:r>
      <w:r w:rsidR="00152E74" w:rsidRPr="695AE64A">
        <w:t xml:space="preserve">raise it with the central Exams team. </w:t>
      </w:r>
    </w:p>
    <w:sectPr w:rsidR="00204518" w:rsidRPr="00157CF7" w:rsidSect="004A085B">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C48F" w14:textId="77777777" w:rsidR="00207003" w:rsidRDefault="00207003" w:rsidP="00FB705E">
      <w:pPr>
        <w:spacing w:after="0" w:line="240" w:lineRule="auto"/>
      </w:pPr>
      <w:r>
        <w:separator/>
      </w:r>
    </w:p>
  </w:endnote>
  <w:endnote w:type="continuationSeparator" w:id="0">
    <w:p w14:paraId="456C4166" w14:textId="77777777" w:rsidR="00207003" w:rsidRDefault="00207003" w:rsidP="00FB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0C5E" w14:textId="77777777" w:rsidR="00537430" w:rsidRDefault="00537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6B87" w14:textId="77777777" w:rsidR="00537430" w:rsidRDefault="00537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54FA" w14:textId="77777777" w:rsidR="00537430" w:rsidRDefault="00537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A70F" w14:textId="77777777" w:rsidR="00207003" w:rsidRDefault="00207003" w:rsidP="00FB705E">
      <w:pPr>
        <w:spacing w:after="0" w:line="240" w:lineRule="auto"/>
      </w:pPr>
      <w:r>
        <w:separator/>
      </w:r>
    </w:p>
  </w:footnote>
  <w:footnote w:type="continuationSeparator" w:id="0">
    <w:p w14:paraId="5012A378" w14:textId="77777777" w:rsidR="00207003" w:rsidRDefault="00207003" w:rsidP="00FB705E">
      <w:pPr>
        <w:spacing w:after="0" w:line="240" w:lineRule="auto"/>
      </w:pPr>
      <w:r>
        <w:continuationSeparator/>
      </w:r>
    </w:p>
  </w:footnote>
  <w:footnote w:id="1">
    <w:p w14:paraId="4355B37A" w14:textId="35498FE4" w:rsidR="00EC3FC5" w:rsidRDefault="00EC3FC5">
      <w:pPr>
        <w:pStyle w:val="FootnoteText"/>
      </w:pPr>
      <w:r>
        <w:rPr>
          <w:rStyle w:val="FootnoteReference"/>
        </w:rPr>
        <w:footnoteRef/>
      </w:r>
      <w:r>
        <w:t xml:space="preserve"> This </w:t>
      </w:r>
      <w:r w:rsidR="00B478F5">
        <w:t xml:space="preserve">includes </w:t>
      </w:r>
      <w:r>
        <w:t xml:space="preserve">students taking in person written, and in person, online examinations.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C24B" w14:textId="77777777" w:rsidR="00537430" w:rsidRDefault="00537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ADA4" w14:textId="77777777" w:rsidR="00537430" w:rsidRDefault="00537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0B95" w14:textId="77777777" w:rsidR="004A085B" w:rsidRPr="00234E4F" w:rsidRDefault="006C2D6E" w:rsidP="00F01F30">
    <w:pPr>
      <w:spacing w:after="0" w:line="240" w:lineRule="auto"/>
      <w:rPr>
        <w:rFonts w:ascii="Arial" w:hAnsi="Arial" w:cs="Arial"/>
        <w:sz w:val="24"/>
        <w:szCs w:val="24"/>
      </w:rPr>
    </w:pPr>
    <w:r>
      <w:rPr>
        <w:noProof/>
      </w:rPr>
      <w:pict w14:anchorId="68714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25pt;margin-top:0;width:184.5pt;height:93pt;z-index:251659264;mso-position-horizontal:absolute;mso-position-horizontal-relative:text;mso-position-vertical:absolute;mso-position-vertical-relative:text;mso-width-relative:page;mso-height-relative:page">
          <v:imagedata r:id="rId1" o:title="Education Quality and Policy Office_col"/>
          <w10:wrap type="topAndBott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7CD3"/>
    <w:multiLevelType w:val="hybridMultilevel"/>
    <w:tmpl w:val="454A935A"/>
    <w:lvl w:ilvl="0" w:tplc="C2026D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67436F"/>
    <w:multiLevelType w:val="hybridMultilevel"/>
    <w:tmpl w:val="61C8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24D1D"/>
    <w:multiLevelType w:val="hybridMultilevel"/>
    <w:tmpl w:val="D68672D0"/>
    <w:lvl w:ilvl="0" w:tplc="AED819BE">
      <w:start w:val="1"/>
      <w:numFmt w:val="decimal"/>
      <w:lvlText w:val="%1"/>
      <w:lvlJc w:val="left"/>
      <w:pPr>
        <w:ind w:left="1080" w:hanging="72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9F7EB4"/>
    <w:multiLevelType w:val="hybridMultilevel"/>
    <w:tmpl w:val="492445DA"/>
    <w:lvl w:ilvl="0" w:tplc="C2026D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3198241">
    <w:abstractNumId w:val="1"/>
  </w:num>
  <w:num w:numId="2" w16cid:durableId="520700770">
    <w:abstractNumId w:val="0"/>
  </w:num>
  <w:num w:numId="3" w16cid:durableId="1887520250">
    <w:abstractNumId w:val="3"/>
  </w:num>
  <w:num w:numId="4" w16cid:durableId="528493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B6"/>
    <w:rsid w:val="00012C9A"/>
    <w:rsid w:val="00076C87"/>
    <w:rsid w:val="000A630D"/>
    <w:rsid w:val="000B7AFF"/>
    <w:rsid w:val="000E7A2D"/>
    <w:rsid w:val="00151287"/>
    <w:rsid w:val="00152E74"/>
    <w:rsid w:val="00157CF7"/>
    <w:rsid w:val="00166C2A"/>
    <w:rsid w:val="001934E5"/>
    <w:rsid w:val="001B6BDF"/>
    <w:rsid w:val="001C7326"/>
    <w:rsid w:val="001E640D"/>
    <w:rsid w:val="00204518"/>
    <w:rsid w:val="00207003"/>
    <w:rsid w:val="00234E4F"/>
    <w:rsid w:val="002F55C9"/>
    <w:rsid w:val="00346FA1"/>
    <w:rsid w:val="003C1BF1"/>
    <w:rsid w:val="003D2D1F"/>
    <w:rsid w:val="004A085B"/>
    <w:rsid w:val="005360B6"/>
    <w:rsid w:val="00537430"/>
    <w:rsid w:val="00586501"/>
    <w:rsid w:val="005E3BF2"/>
    <w:rsid w:val="006244CE"/>
    <w:rsid w:val="00630DD8"/>
    <w:rsid w:val="006349A0"/>
    <w:rsid w:val="006A361F"/>
    <w:rsid w:val="006B5B16"/>
    <w:rsid w:val="006C2D6E"/>
    <w:rsid w:val="007A102A"/>
    <w:rsid w:val="007A3C78"/>
    <w:rsid w:val="007F5674"/>
    <w:rsid w:val="008236D5"/>
    <w:rsid w:val="0087135E"/>
    <w:rsid w:val="0089146F"/>
    <w:rsid w:val="00933E44"/>
    <w:rsid w:val="009538B6"/>
    <w:rsid w:val="009B0EBB"/>
    <w:rsid w:val="009D0FF0"/>
    <w:rsid w:val="009F1E5E"/>
    <w:rsid w:val="00A12D26"/>
    <w:rsid w:val="00A31069"/>
    <w:rsid w:val="00B478F5"/>
    <w:rsid w:val="00B552CF"/>
    <w:rsid w:val="00BA36CB"/>
    <w:rsid w:val="00C15A05"/>
    <w:rsid w:val="00DD74B8"/>
    <w:rsid w:val="00E13762"/>
    <w:rsid w:val="00E364AF"/>
    <w:rsid w:val="00E6038D"/>
    <w:rsid w:val="00E84F78"/>
    <w:rsid w:val="00E939CE"/>
    <w:rsid w:val="00E94E31"/>
    <w:rsid w:val="00EC3FC5"/>
    <w:rsid w:val="00F01F30"/>
    <w:rsid w:val="00F44154"/>
    <w:rsid w:val="00FA7D0E"/>
    <w:rsid w:val="00FB705E"/>
    <w:rsid w:val="00FD58DC"/>
    <w:rsid w:val="00FF4422"/>
    <w:rsid w:val="01EC7CD4"/>
    <w:rsid w:val="1469C8FC"/>
    <w:rsid w:val="1614DBF6"/>
    <w:rsid w:val="1A3F0A68"/>
    <w:rsid w:val="252C6289"/>
    <w:rsid w:val="2BED678C"/>
    <w:rsid w:val="377BE206"/>
    <w:rsid w:val="459DFF0F"/>
    <w:rsid w:val="521382AC"/>
    <w:rsid w:val="527D5935"/>
    <w:rsid w:val="559AFA7C"/>
    <w:rsid w:val="60DA15E7"/>
    <w:rsid w:val="695AE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724487"/>
  <w15:chartTrackingRefBased/>
  <w15:docId w15:val="{313311D5-1355-40B6-B970-6ACBB1A6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F78"/>
    <w:pPr>
      <w:ind w:left="720"/>
      <w:contextualSpacing/>
    </w:pPr>
  </w:style>
  <w:style w:type="paragraph" w:styleId="Header">
    <w:name w:val="header"/>
    <w:basedOn w:val="Normal"/>
    <w:link w:val="HeaderChar"/>
    <w:uiPriority w:val="99"/>
    <w:unhideWhenUsed/>
    <w:rsid w:val="00FB7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05E"/>
  </w:style>
  <w:style w:type="paragraph" w:styleId="Footer">
    <w:name w:val="footer"/>
    <w:basedOn w:val="Normal"/>
    <w:link w:val="FooterChar"/>
    <w:uiPriority w:val="99"/>
    <w:unhideWhenUsed/>
    <w:rsid w:val="00FB7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05E"/>
  </w:style>
  <w:style w:type="paragraph" w:styleId="BalloonText">
    <w:name w:val="Balloon Text"/>
    <w:basedOn w:val="Normal"/>
    <w:link w:val="BalloonTextChar"/>
    <w:uiPriority w:val="99"/>
    <w:semiHidden/>
    <w:unhideWhenUsed/>
    <w:rsid w:val="00F44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154"/>
    <w:rPr>
      <w:rFonts w:ascii="Segoe UI" w:hAnsi="Segoe UI" w:cs="Segoe UI"/>
      <w:sz w:val="18"/>
      <w:szCs w:val="18"/>
    </w:rPr>
  </w:style>
  <w:style w:type="character" w:styleId="Hyperlink">
    <w:name w:val="Hyperlink"/>
    <w:basedOn w:val="DefaultParagraphFont"/>
    <w:uiPriority w:val="99"/>
    <w:unhideWhenUsed/>
    <w:rsid w:val="0089146F"/>
    <w:rPr>
      <w:color w:val="0563C1" w:themeColor="hyperlink"/>
      <w:u w:val="single"/>
    </w:rPr>
  </w:style>
  <w:style w:type="paragraph" w:styleId="FootnoteText">
    <w:name w:val="footnote text"/>
    <w:basedOn w:val="Normal"/>
    <w:link w:val="FootnoteTextChar"/>
    <w:uiPriority w:val="99"/>
    <w:semiHidden/>
    <w:unhideWhenUsed/>
    <w:rsid w:val="00EC3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FC5"/>
    <w:rPr>
      <w:sz w:val="20"/>
      <w:szCs w:val="20"/>
    </w:rPr>
  </w:style>
  <w:style w:type="character" w:styleId="FootnoteReference">
    <w:name w:val="footnote reference"/>
    <w:basedOn w:val="DefaultParagraphFont"/>
    <w:uiPriority w:val="99"/>
    <w:semiHidden/>
    <w:unhideWhenUsed/>
    <w:rsid w:val="00EC3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36000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11f2a42-4364-4cf7-9fc0-909bf5fe40fd">
      <Terms xmlns="http://schemas.microsoft.com/office/infopath/2007/PartnerControls"/>
    </lcf76f155ced4ddcb4097134ff3c332f>
    <_ip_UnifiedCompliancePolicyProperties xmlns="http://schemas.microsoft.com/sharepoint/v3" xsi:nil="true"/>
    <TaxCatchAll xmlns="5a9e9244-ac40-4ba2-8f53-8c5896460afd" xsi:nil="true"/>
    <_Flow_SignoffStatus xmlns="811f2a42-4364-4cf7-9fc0-909bf5fe40fd" xsi:nil="true"/>
    <File_x0020_version xmlns="811f2a42-4364-4cf7-9fc0-909bf5fe40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A03DB929CB14489084DAC2B93245D1" ma:contentTypeVersion="24" ma:contentTypeDescription="Create a new document." ma:contentTypeScope="" ma:versionID="ed4dfb12a531a94be0e0d7f2a5339128">
  <xsd:schema xmlns:xsd="http://www.w3.org/2001/XMLSchema" xmlns:xs="http://www.w3.org/2001/XMLSchema" xmlns:p="http://schemas.microsoft.com/office/2006/metadata/properties" xmlns:ns1="http://schemas.microsoft.com/sharepoint/v3" xmlns:ns2="811f2a42-4364-4cf7-9fc0-909bf5fe40fd" xmlns:ns3="5a9e9244-ac40-4ba2-8f53-8c5896460afd" targetNamespace="http://schemas.microsoft.com/office/2006/metadata/properties" ma:root="true" ma:fieldsID="3f3dad3350f19fe3369c1af33ec44cc0" ns1:_="" ns2:_="" ns3:_="">
    <xsd:import namespace="http://schemas.microsoft.com/sharepoint/v3"/>
    <xsd:import namespace="811f2a42-4364-4cf7-9fc0-909bf5fe40fd"/>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1:_ip_UnifiedCompliancePolicyProperties" minOccurs="0"/>
                <xsd:element ref="ns1:_ip_UnifiedCompliancePolicyUIAction" minOccurs="0"/>
                <xsd:element ref="ns2:File_x0020_version" minOccurs="0"/>
                <xsd:element ref="ns2:File_x0020_version_x003a_Vers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2a42-4364-4cf7-9fc0-909bf5fe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File_x0020_version" ma:index="23" nillable="true" ma:displayName="File version" ma:list="{6450578e-8274-4528-b389-cd0abb418003}" ma:internalName="File_x0020_version" ma:showField="Title">
      <xsd:simpleType>
        <xsd:restriction base="dms:Lookup"/>
      </xsd:simpleType>
    </xsd:element>
    <xsd:element name="File_x0020_version_x003a_Version" ma:index="24" nillable="true" ma:displayName="File version:Version" ma:list="{6450578e-8274-4528-b389-cd0abb418003}" ma:internalName="File_x0020_version_x003a_Version" ma:readOnly="true" ma:showField="_UIVersionString" ma:web="5a9e9244-ac40-4ba2-8f53-8c5896460afd">
      <xsd:simpleType>
        <xsd:restriction base="dms:Lookup"/>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0dbb149-a12e-4554-bcca-7cc88038852e}"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0971F-2ABA-41CE-AA55-C1B55D3CD897}">
  <ds:schemaRefs>
    <ds:schemaRef ds:uri="http://schemas.microsoft.com/office/2006/metadata/properties"/>
    <ds:schemaRef ds:uri="http://schemas.microsoft.com/office/infopath/2007/PartnerControls"/>
    <ds:schemaRef ds:uri="http://schemas.microsoft.com/sharepoint/v3"/>
    <ds:schemaRef ds:uri="811f2a42-4364-4cf7-9fc0-909bf5fe40fd"/>
    <ds:schemaRef ds:uri="5a9e9244-ac40-4ba2-8f53-8c5896460afd"/>
  </ds:schemaRefs>
</ds:datastoreItem>
</file>

<file path=customXml/itemProps2.xml><?xml version="1.0" encoding="utf-8"?>
<ds:datastoreItem xmlns:ds="http://schemas.openxmlformats.org/officeDocument/2006/customXml" ds:itemID="{6AB13123-ED32-4C70-B1D4-96EA67C67FAF}">
  <ds:schemaRefs>
    <ds:schemaRef ds:uri="http://schemas.microsoft.com/sharepoint/v3/contenttype/forms"/>
  </ds:schemaRefs>
</ds:datastoreItem>
</file>

<file path=customXml/itemProps3.xml><?xml version="1.0" encoding="utf-8"?>
<ds:datastoreItem xmlns:ds="http://schemas.openxmlformats.org/officeDocument/2006/customXml" ds:itemID="{10D28A25-2636-4E5B-96C7-41DEEFAAFF94}">
  <ds:schemaRefs>
    <ds:schemaRef ds:uri="http://schemas.openxmlformats.org/officeDocument/2006/bibliography"/>
  </ds:schemaRefs>
</ds:datastoreItem>
</file>

<file path=customXml/itemProps4.xml><?xml version="1.0" encoding="utf-8"?>
<ds:datastoreItem xmlns:ds="http://schemas.openxmlformats.org/officeDocument/2006/customXml" ds:itemID="{64AE784A-EACB-4B18-AD45-70CC6DBE6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f2a42-4364-4cf7-9fc0-909bf5fe40fd"/>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Allen</dc:creator>
  <cp:keywords/>
  <dc:description/>
  <cp:lastModifiedBy>Sarah Cook</cp:lastModifiedBy>
  <cp:revision>2</cp:revision>
  <cp:lastPrinted>2023-02-11T12:39:00Z</cp:lastPrinted>
  <dcterms:created xsi:type="dcterms:W3CDTF">2023-03-02T10:56:00Z</dcterms:created>
  <dcterms:modified xsi:type="dcterms:W3CDTF">2023-03-02T10:56:00Z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0x0101007727A50747212D4C8983CA7EA51CBDE5</vt:lpwstr>
  </property>
</Properties>
</file>